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48A" w:rsidRDefault="007C4EF9" w:rsidP="001F6A4B">
      <w:pPr>
        <w:widowControl w:val="0"/>
        <w:autoSpaceDE w:val="0"/>
        <w:autoSpaceDN w:val="0"/>
        <w:adjustRightInd w:val="0"/>
        <w:jc w:val="center"/>
        <w:rPr>
          <w:rFonts w:ascii="Times New Roman" w:hAnsi="Times New Roman" w:cs="Times New Roman"/>
          <w:sz w:val="40"/>
          <w:szCs w:val="40"/>
        </w:rPr>
      </w:pPr>
      <w:r>
        <w:rPr>
          <w:rFonts w:ascii="Times New Roman" w:hAnsi="Times New Roman" w:cs="Times New Roman"/>
          <w:sz w:val="40"/>
          <w:szCs w:val="40"/>
        </w:rPr>
        <w:t>VISITA AL 19° CONVEGNO AIIC</w:t>
      </w:r>
    </w:p>
    <w:p w:rsidR="006D348A" w:rsidRDefault="006D348A">
      <w:pPr>
        <w:widowControl w:val="0"/>
        <w:autoSpaceDE w:val="0"/>
        <w:autoSpaceDN w:val="0"/>
        <w:adjustRightInd w:val="0"/>
        <w:jc w:val="center"/>
        <w:rPr>
          <w:rFonts w:ascii="Calibri" w:hAnsi="Calibri" w:cs="Calibri"/>
        </w:rPr>
      </w:pPr>
    </w:p>
    <w:p w:rsidR="00E527E3" w:rsidRDefault="007C4EF9" w:rsidP="009B4C8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Lo scorso 18 Maggio, noi studenti della classe IV B del </w:t>
      </w:r>
      <w:r w:rsidR="00B442D5">
        <w:rPr>
          <w:rFonts w:ascii="Times New Roman" w:hAnsi="Times New Roman" w:cs="Times New Roman"/>
          <w:sz w:val="24"/>
          <w:szCs w:val="24"/>
        </w:rPr>
        <w:t>Liceo S</w:t>
      </w:r>
      <w:r>
        <w:rPr>
          <w:rFonts w:ascii="Times New Roman" w:hAnsi="Times New Roman" w:cs="Times New Roman"/>
          <w:sz w:val="24"/>
          <w:szCs w:val="24"/>
        </w:rPr>
        <w:t xml:space="preserve">cientifico </w:t>
      </w:r>
      <w:r w:rsidR="00B442D5">
        <w:rPr>
          <w:rFonts w:ascii="Times New Roman" w:hAnsi="Times New Roman" w:cs="Times New Roman"/>
          <w:sz w:val="24"/>
          <w:szCs w:val="24"/>
        </w:rPr>
        <w:t>“</w:t>
      </w:r>
      <w:r w:rsidR="00D80BC6">
        <w:rPr>
          <w:rFonts w:ascii="Times New Roman" w:hAnsi="Times New Roman" w:cs="Times New Roman"/>
          <w:sz w:val="24"/>
          <w:szCs w:val="24"/>
        </w:rPr>
        <w:t>A. Guarasci”</w:t>
      </w:r>
      <w:bookmarkStart w:id="0" w:name="_GoBack"/>
      <w:bookmarkEnd w:id="0"/>
      <w:r w:rsidR="00B442D5">
        <w:rPr>
          <w:rFonts w:ascii="Times New Roman" w:hAnsi="Times New Roman" w:cs="Times New Roman"/>
          <w:sz w:val="24"/>
          <w:szCs w:val="24"/>
        </w:rPr>
        <w:t xml:space="preserve"> </w:t>
      </w:r>
      <w:r>
        <w:rPr>
          <w:rFonts w:ascii="Times New Roman" w:hAnsi="Times New Roman" w:cs="Times New Roman"/>
          <w:sz w:val="24"/>
          <w:szCs w:val="24"/>
        </w:rPr>
        <w:t>di Rogliano (CS), ci siamo recati in visita al 19° Convegno Nazionale dell'Associazione Italiana Ingegneri Clinici (AIIC), tenu</w:t>
      </w:r>
      <w:r w:rsidR="00B442D5">
        <w:rPr>
          <w:rFonts w:ascii="Times New Roman" w:hAnsi="Times New Roman" w:cs="Times New Roman"/>
          <w:sz w:val="24"/>
          <w:szCs w:val="24"/>
        </w:rPr>
        <w:t>tosi presso l'Università degli S</w:t>
      </w:r>
      <w:r>
        <w:rPr>
          <w:rFonts w:ascii="Times New Roman" w:hAnsi="Times New Roman" w:cs="Times New Roman"/>
          <w:sz w:val="24"/>
          <w:szCs w:val="24"/>
        </w:rPr>
        <w:t xml:space="preserve">tudi "Magna </w:t>
      </w:r>
      <w:proofErr w:type="spellStart"/>
      <w:r>
        <w:rPr>
          <w:rFonts w:ascii="Times New Roman" w:hAnsi="Times New Roman" w:cs="Times New Roman"/>
          <w:sz w:val="24"/>
          <w:szCs w:val="24"/>
        </w:rPr>
        <w:t>Graecia</w:t>
      </w:r>
      <w:proofErr w:type="spellEnd"/>
      <w:r>
        <w:rPr>
          <w:rFonts w:ascii="Times New Roman" w:hAnsi="Times New Roman" w:cs="Times New Roman"/>
          <w:sz w:val="24"/>
          <w:szCs w:val="24"/>
        </w:rPr>
        <w:t xml:space="preserve">" di Catanzaro nei giorni 16, 17 e 18 Maggio 2019. </w:t>
      </w:r>
    </w:p>
    <w:p w:rsidR="00E527E3" w:rsidRPr="00E527E3" w:rsidRDefault="00E527E3" w:rsidP="009B4C8F">
      <w:pPr>
        <w:widowControl w:val="0"/>
        <w:autoSpaceDE w:val="0"/>
        <w:autoSpaceDN w:val="0"/>
        <w:adjustRightInd w:val="0"/>
        <w:jc w:val="both"/>
        <w:rPr>
          <w:rFonts w:ascii="Times New Roman" w:hAnsi="Times New Roman" w:cs="Times New Roman"/>
          <w:sz w:val="24"/>
          <w:szCs w:val="24"/>
        </w:rPr>
      </w:pPr>
      <w:r w:rsidRPr="00E527E3">
        <w:rPr>
          <w:rFonts w:ascii="Times New Roman" w:hAnsi="Times New Roman" w:cs="Times New Roman"/>
          <w:sz w:val="24"/>
          <w:szCs w:val="24"/>
        </w:rPr>
        <w:t>Il Congresso, oltre a fornire una serie di approfondimenti su argomenti imprescindibili dell</w:t>
      </w:r>
      <w:r w:rsidR="008B48AA">
        <w:rPr>
          <w:rFonts w:ascii="Times New Roman" w:hAnsi="Times New Roman" w:cs="Times New Roman"/>
          <w:sz w:val="24"/>
          <w:szCs w:val="24"/>
        </w:rPr>
        <w:t>’</w:t>
      </w:r>
      <w:r w:rsidR="001F6A4B">
        <w:rPr>
          <w:rFonts w:ascii="Times New Roman" w:hAnsi="Times New Roman" w:cs="Times New Roman"/>
          <w:sz w:val="24"/>
          <w:szCs w:val="24"/>
        </w:rPr>
        <w:t>a</w:t>
      </w:r>
      <w:r w:rsidRPr="00E527E3">
        <w:rPr>
          <w:rFonts w:ascii="Times New Roman" w:hAnsi="Times New Roman" w:cs="Times New Roman"/>
          <w:sz w:val="24"/>
          <w:szCs w:val="24"/>
        </w:rPr>
        <w:t>ttività dei professionisti impegnati nella sanità, è stato una occasione per richiamare l’attenzione sul ‘Sud che si muove’ e su un centro di vita accademica, sanitaria e tecnologica attivo e particolarmente dinamico, quale è il polo universitario di Catanzaro.</w:t>
      </w:r>
    </w:p>
    <w:p w:rsidR="00B442D5" w:rsidRDefault="007C4EF9" w:rsidP="009B4C8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La scelta di partecipare come ospiti </w:t>
      </w:r>
      <w:r w:rsidR="00B442D5">
        <w:rPr>
          <w:rFonts w:ascii="Times New Roman" w:hAnsi="Times New Roman" w:cs="Times New Roman"/>
          <w:sz w:val="24"/>
          <w:szCs w:val="24"/>
        </w:rPr>
        <w:t>è nata</w:t>
      </w:r>
      <w:r>
        <w:rPr>
          <w:rFonts w:ascii="Times New Roman" w:hAnsi="Times New Roman" w:cs="Times New Roman"/>
          <w:sz w:val="24"/>
          <w:szCs w:val="24"/>
        </w:rPr>
        <w:t xml:space="preserve"> da</w:t>
      </w:r>
      <w:r w:rsidR="00B442D5">
        <w:rPr>
          <w:rFonts w:ascii="Times New Roman" w:hAnsi="Times New Roman" w:cs="Times New Roman"/>
          <w:sz w:val="24"/>
          <w:szCs w:val="24"/>
        </w:rPr>
        <w:t xml:space="preserve">ll’interesse di alcuni di noi verso </w:t>
      </w:r>
      <w:r>
        <w:rPr>
          <w:rFonts w:ascii="Times New Roman" w:hAnsi="Times New Roman" w:cs="Times New Roman"/>
          <w:sz w:val="24"/>
          <w:szCs w:val="24"/>
        </w:rPr>
        <w:t>l</w:t>
      </w:r>
      <w:r w:rsidR="00B442D5">
        <w:rPr>
          <w:rFonts w:ascii="Times New Roman" w:hAnsi="Times New Roman" w:cs="Times New Roman"/>
          <w:sz w:val="24"/>
          <w:szCs w:val="24"/>
        </w:rPr>
        <w:t>’</w:t>
      </w:r>
      <w:r>
        <w:rPr>
          <w:rFonts w:ascii="Times New Roman" w:hAnsi="Times New Roman" w:cs="Times New Roman"/>
          <w:sz w:val="24"/>
          <w:szCs w:val="24"/>
        </w:rPr>
        <w:t>i</w:t>
      </w:r>
      <w:r w:rsidR="00B442D5">
        <w:rPr>
          <w:rFonts w:ascii="Times New Roman" w:hAnsi="Times New Roman" w:cs="Times New Roman"/>
          <w:sz w:val="24"/>
          <w:szCs w:val="24"/>
        </w:rPr>
        <w:t>ngegneria biomedica e clinica</w:t>
      </w:r>
      <w:r>
        <w:rPr>
          <w:rFonts w:ascii="Times New Roman" w:hAnsi="Times New Roman" w:cs="Times New Roman"/>
          <w:sz w:val="24"/>
          <w:szCs w:val="24"/>
        </w:rPr>
        <w:t xml:space="preserve"> e </w:t>
      </w:r>
      <w:r w:rsidR="00B442D5">
        <w:rPr>
          <w:rFonts w:ascii="Times New Roman" w:hAnsi="Times New Roman" w:cs="Times New Roman"/>
          <w:sz w:val="24"/>
          <w:szCs w:val="24"/>
        </w:rPr>
        <w:t>dall’</w:t>
      </w:r>
      <w:r>
        <w:rPr>
          <w:rFonts w:ascii="Times New Roman" w:hAnsi="Times New Roman" w:cs="Times New Roman"/>
          <w:sz w:val="24"/>
          <w:szCs w:val="24"/>
        </w:rPr>
        <w:t>intenzione di seguire tali corsi di studio nell'ateneo di Germaneto</w:t>
      </w:r>
      <w:r w:rsidR="00B442D5">
        <w:rPr>
          <w:rFonts w:ascii="Times New Roman" w:hAnsi="Times New Roman" w:cs="Times New Roman"/>
          <w:sz w:val="24"/>
          <w:szCs w:val="24"/>
        </w:rPr>
        <w:t xml:space="preserve"> dopo il conseguimento del diploma</w:t>
      </w:r>
      <w:r>
        <w:rPr>
          <w:rFonts w:ascii="Times New Roman" w:hAnsi="Times New Roman" w:cs="Times New Roman"/>
          <w:sz w:val="24"/>
          <w:szCs w:val="24"/>
        </w:rPr>
        <w:t xml:space="preserve">. L'attività del 18 </w:t>
      </w:r>
      <w:r w:rsidR="00B442D5">
        <w:rPr>
          <w:rFonts w:ascii="Times New Roman" w:hAnsi="Times New Roman" w:cs="Times New Roman"/>
          <w:sz w:val="24"/>
          <w:szCs w:val="24"/>
        </w:rPr>
        <w:t xml:space="preserve">maggio è servita comunque a fornire utili indicazioni sulle future prospettive di studio di tutti noi, che in questo momento ci stiamo ponendo domande sulle nostre prossime scelte universitarie. </w:t>
      </w:r>
    </w:p>
    <w:p w:rsidR="001F6A4B" w:rsidRDefault="007C4EF9" w:rsidP="009B4C8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Una volta giunti sul posto, </w:t>
      </w:r>
      <w:r w:rsidR="00B442D5">
        <w:rPr>
          <w:rFonts w:ascii="Times New Roman" w:hAnsi="Times New Roman" w:cs="Times New Roman"/>
          <w:sz w:val="24"/>
          <w:szCs w:val="24"/>
        </w:rPr>
        <w:t>accompagnati dalla prof.ssa Tiziana Spezzano</w:t>
      </w:r>
      <w:r w:rsidR="001E7DDC">
        <w:rPr>
          <w:rFonts w:ascii="Times New Roman" w:hAnsi="Times New Roman" w:cs="Times New Roman"/>
          <w:sz w:val="24"/>
          <w:szCs w:val="24"/>
        </w:rPr>
        <w:t xml:space="preserve">, nostra docente di Scienze, </w:t>
      </w:r>
      <w:r>
        <w:rPr>
          <w:rFonts w:ascii="Times New Roman" w:hAnsi="Times New Roman" w:cs="Times New Roman"/>
          <w:sz w:val="24"/>
          <w:szCs w:val="24"/>
        </w:rPr>
        <w:t xml:space="preserve">abbiamo </w:t>
      </w:r>
      <w:r w:rsidR="001E7DDC">
        <w:rPr>
          <w:rFonts w:ascii="Times New Roman" w:hAnsi="Times New Roman" w:cs="Times New Roman"/>
          <w:sz w:val="24"/>
          <w:szCs w:val="24"/>
        </w:rPr>
        <w:t>visitato</w:t>
      </w:r>
      <w:r>
        <w:rPr>
          <w:rFonts w:ascii="Times New Roman" w:hAnsi="Times New Roman" w:cs="Times New Roman"/>
          <w:sz w:val="24"/>
          <w:szCs w:val="24"/>
        </w:rPr>
        <w:t xml:space="preserve"> l'esposizione dei macchinari sanitari </w:t>
      </w:r>
      <w:r w:rsidR="001E7DDC">
        <w:rPr>
          <w:rFonts w:ascii="Times New Roman" w:hAnsi="Times New Roman" w:cs="Times New Roman"/>
          <w:sz w:val="24"/>
          <w:szCs w:val="24"/>
        </w:rPr>
        <w:t>presentati</w:t>
      </w:r>
      <w:r>
        <w:rPr>
          <w:rFonts w:ascii="Times New Roman" w:hAnsi="Times New Roman" w:cs="Times New Roman"/>
          <w:sz w:val="24"/>
          <w:szCs w:val="24"/>
        </w:rPr>
        <w:t xml:space="preserve"> al convegno, una serie di </w:t>
      </w:r>
      <w:r w:rsidR="001E7DDC">
        <w:rPr>
          <w:rFonts w:ascii="Times New Roman" w:hAnsi="Times New Roman" w:cs="Times New Roman"/>
          <w:sz w:val="24"/>
          <w:szCs w:val="24"/>
        </w:rPr>
        <w:t xml:space="preserve">soluzioni </w:t>
      </w:r>
      <w:r>
        <w:rPr>
          <w:rFonts w:ascii="Times New Roman" w:hAnsi="Times New Roman" w:cs="Times New Roman"/>
          <w:sz w:val="24"/>
          <w:szCs w:val="24"/>
        </w:rPr>
        <w:t xml:space="preserve">innovative </w:t>
      </w:r>
      <w:r w:rsidR="001E7DDC">
        <w:rPr>
          <w:rFonts w:ascii="Times New Roman" w:hAnsi="Times New Roman" w:cs="Times New Roman"/>
          <w:sz w:val="24"/>
          <w:szCs w:val="24"/>
        </w:rPr>
        <w:t>per le</w:t>
      </w:r>
      <w:r>
        <w:rPr>
          <w:rFonts w:ascii="Times New Roman" w:hAnsi="Times New Roman" w:cs="Times New Roman"/>
          <w:sz w:val="24"/>
          <w:szCs w:val="24"/>
        </w:rPr>
        <w:t xml:space="preserve"> problematiche clinic</w:t>
      </w:r>
      <w:r w:rsidR="001E7DDC">
        <w:rPr>
          <w:rFonts w:ascii="Times New Roman" w:hAnsi="Times New Roman" w:cs="Times New Roman"/>
          <w:sz w:val="24"/>
          <w:szCs w:val="24"/>
        </w:rPr>
        <w:t>he</w:t>
      </w:r>
      <w:r>
        <w:rPr>
          <w:rFonts w:ascii="Times New Roman" w:hAnsi="Times New Roman" w:cs="Times New Roman"/>
          <w:sz w:val="24"/>
          <w:szCs w:val="24"/>
        </w:rPr>
        <w:t>, in grado di aiutare medici ed infermieri a sv</w:t>
      </w:r>
      <w:r w:rsidR="001E7DDC">
        <w:rPr>
          <w:rFonts w:ascii="Times New Roman" w:hAnsi="Times New Roman" w:cs="Times New Roman"/>
          <w:sz w:val="24"/>
          <w:szCs w:val="24"/>
        </w:rPr>
        <w:t xml:space="preserve">olgere il loro lavoro al meglio. </w:t>
      </w:r>
      <w:r w:rsidR="001E7DDC" w:rsidRPr="009B4C8F">
        <w:rPr>
          <w:rFonts w:ascii="Times New Roman" w:hAnsi="Times New Roman" w:cs="Times New Roman"/>
          <w:color w:val="000000" w:themeColor="text1"/>
          <w:sz w:val="24"/>
          <w:szCs w:val="24"/>
        </w:rPr>
        <w:t>Un</w:t>
      </w:r>
      <w:r w:rsidR="001E7DDC" w:rsidRPr="001E7DDC">
        <w:rPr>
          <w:rFonts w:ascii="Times New Roman" w:hAnsi="Times New Roman" w:cs="Times New Roman"/>
          <w:color w:val="FF0000"/>
          <w:sz w:val="24"/>
          <w:szCs w:val="24"/>
        </w:rPr>
        <w:t xml:space="preserve"> </w:t>
      </w:r>
      <w:r w:rsidR="001E7DDC" w:rsidRPr="009B4C8F">
        <w:rPr>
          <w:rFonts w:ascii="Times New Roman" w:hAnsi="Times New Roman" w:cs="Times New Roman"/>
          <w:color w:val="000000" w:themeColor="text1"/>
          <w:sz w:val="24"/>
          <w:szCs w:val="24"/>
        </w:rPr>
        <w:t>esempio di tali soluzioni è</w:t>
      </w:r>
      <w:r w:rsidRPr="009B4C8F">
        <w:rPr>
          <w:rFonts w:ascii="Times New Roman" w:hAnsi="Times New Roman" w:cs="Times New Roman"/>
          <w:color w:val="000000" w:themeColor="text1"/>
          <w:sz w:val="24"/>
          <w:szCs w:val="24"/>
        </w:rPr>
        <w:t xml:space="preserve"> la cosiddetta "realtà mixata"</w:t>
      </w:r>
      <w:r w:rsidR="00E527E3" w:rsidRPr="009B4C8F">
        <w:rPr>
          <w:rFonts w:ascii="Times New Roman" w:hAnsi="Times New Roman" w:cs="Times New Roman"/>
          <w:color w:val="000000" w:themeColor="text1"/>
          <w:sz w:val="24"/>
          <w:szCs w:val="24"/>
        </w:rPr>
        <w:t>, ottenuta tramite occhiali speciali che consentono di fondere il reale e il virtuale  in un ambiente i</w:t>
      </w:r>
      <w:r w:rsidR="00E527E3" w:rsidRPr="00E527E3">
        <w:rPr>
          <w:rFonts w:ascii="Times New Roman" w:hAnsi="Times New Roman" w:cs="Times New Roman"/>
          <w:sz w:val="24"/>
          <w:szCs w:val="24"/>
        </w:rPr>
        <w:t>n cui oggetti fisici e digitali coesistono e interagiscono in te</w:t>
      </w:r>
      <w:r w:rsidR="00E527E3">
        <w:rPr>
          <w:rFonts w:ascii="Times New Roman" w:hAnsi="Times New Roman" w:cs="Times New Roman"/>
          <w:sz w:val="24"/>
          <w:szCs w:val="24"/>
        </w:rPr>
        <w:t>mpo reale</w:t>
      </w:r>
      <w:r w:rsidR="009B4C8F">
        <w:rPr>
          <w:rFonts w:ascii="Times New Roman" w:hAnsi="Times New Roman" w:cs="Times New Roman"/>
          <w:sz w:val="24"/>
          <w:szCs w:val="24"/>
        </w:rPr>
        <w:t>, con grande utilità per il chirurgo che opera</w:t>
      </w:r>
      <w:r w:rsidR="005C0EC9">
        <w:rPr>
          <w:rFonts w:ascii="Times New Roman" w:hAnsi="Times New Roman" w:cs="Times New Roman"/>
          <w:sz w:val="24"/>
          <w:szCs w:val="24"/>
        </w:rPr>
        <w:t xml:space="preserve"> (progettata da </w:t>
      </w:r>
      <w:r w:rsidR="005C0EC9" w:rsidRPr="005C0EC9">
        <w:rPr>
          <w:rFonts w:ascii="Times New Roman" w:hAnsi="Times New Roman" w:cs="Times New Roman"/>
          <w:i/>
          <w:sz w:val="24"/>
          <w:szCs w:val="24"/>
        </w:rPr>
        <w:t xml:space="preserve">“General </w:t>
      </w:r>
      <w:proofErr w:type="spellStart"/>
      <w:r w:rsidR="005C0EC9" w:rsidRPr="005C0EC9">
        <w:rPr>
          <w:rFonts w:ascii="Times New Roman" w:hAnsi="Times New Roman" w:cs="Times New Roman"/>
          <w:i/>
          <w:sz w:val="24"/>
          <w:szCs w:val="24"/>
        </w:rPr>
        <w:t>Electric</w:t>
      </w:r>
      <w:proofErr w:type="spellEnd"/>
      <w:r w:rsidR="005C0EC9" w:rsidRPr="005C0EC9">
        <w:rPr>
          <w:rFonts w:ascii="Times New Roman" w:hAnsi="Times New Roman" w:cs="Times New Roman"/>
          <w:i/>
          <w:sz w:val="24"/>
          <w:szCs w:val="24"/>
        </w:rPr>
        <w:t xml:space="preserve"> </w:t>
      </w:r>
      <w:proofErr w:type="spellStart"/>
      <w:r w:rsidR="005C0EC9" w:rsidRPr="005C0EC9">
        <w:rPr>
          <w:rFonts w:ascii="Times New Roman" w:hAnsi="Times New Roman" w:cs="Times New Roman"/>
          <w:i/>
          <w:sz w:val="24"/>
          <w:szCs w:val="24"/>
        </w:rPr>
        <w:t>Helcare</w:t>
      </w:r>
      <w:proofErr w:type="spellEnd"/>
      <w:r w:rsidR="005C0EC9" w:rsidRPr="005C0EC9">
        <w:rPr>
          <w:rFonts w:ascii="Times New Roman" w:hAnsi="Times New Roman" w:cs="Times New Roman"/>
          <w:i/>
          <w:sz w:val="24"/>
          <w:szCs w:val="24"/>
        </w:rPr>
        <w:t>”</w:t>
      </w:r>
      <w:r w:rsidR="005C0EC9">
        <w:rPr>
          <w:rFonts w:ascii="Times New Roman" w:hAnsi="Times New Roman" w:cs="Times New Roman"/>
          <w:sz w:val="24"/>
          <w:szCs w:val="24"/>
        </w:rPr>
        <w:t xml:space="preserve">) </w:t>
      </w:r>
      <w:r>
        <w:rPr>
          <w:rFonts w:ascii="Times New Roman" w:hAnsi="Times New Roman" w:cs="Times New Roman"/>
          <w:sz w:val="24"/>
          <w:szCs w:val="24"/>
        </w:rPr>
        <w:t>; oppure dei tavoli da operazione in fibra di carbonio, radiotrasparente, così da lasciar passare i raggi X nel momento stesso dell'intervento</w:t>
      </w:r>
      <w:r w:rsidR="001E7DDC">
        <w:rPr>
          <w:rFonts w:ascii="Times New Roman" w:hAnsi="Times New Roman" w:cs="Times New Roman"/>
          <w:sz w:val="24"/>
          <w:szCs w:val="24"/>
        </w:rPr>
        <w:t>, per una migliore visione panoramica</w:t>
      </w:r>
      <w:r w:rsidR="005C0EC9">
        <w:rPr>
          <w:rFonts w:ascii="Times New Roman" w:hAnsi="Times New Roman" w:cs="Times New Roman"/>
          <w:sz w:val="24"/>
          <w:szCs w:val="24"/>
        </w:rPr>
        <w:t xml:space="preserve"> (creazione a cura di “STERIS”) </w:t>
      </w:r>
      <w:r w:rsidR="001E7DDC">
        <w:rPr>
          <w:rFonts w:ascii="Times New Roman" w:hAnsi="Times New Roman" w:cs="Times New Roman"/>
          <w:sz w:val="24"/>
          <w:szCs w:val="24"/>
        </w:rPr>
        <w:t xml:space="preserve">; infine, </w:t>
      </w:r>
      <w:r>
        <w:rPr>
          <w:rFonts w:ascii="Times New Roman" w:hAnsi="Times New Roman" w:cs="Times New Roman"/>
          <w:sz w:val="24"/>
          <w:szCs w:val="24"/>
        </w:rPr>
        <w:t>una vera e</w:t>
      </w:r>
      <w:r w:rsidR="001E7DDC">
        <w:rPr>
          <w:rFonts w:ascii="Times New Roman" w:hAnsi="Times New Roman" w:cs="Times New Roman"/>
          <w:sz w:val="24"/>
          <w:szCs w:val="24"/>
        </w:rPr>
        <w:t xml:space="preserve"> propria sala operatoria con </w:t>
      </w:r>
      <w:r>
        <w:rPr>
          <w:rFonts w:ascii="Times New Roman" w:hAnsi="Times New Roman" w:cs="Times New Roman"/>
          <w:sz w:val="24"/>
          <w:szCs w:val="24"/>
        </w:rPr>
        <w:t>illuminazione diretta sulla zona da operare e tavoli regolabili in base ai diversi casi, capace di agevolare di molto le procedure.</w:t>
      </w:r>
    </w:p>
    <w:p w:rsidR="006D348A" w:rsidRDefault="007C4EF9" w:rsidP="009B4C8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001F6A4B">
        <w:rPr>
          <w:rFonts w:ascii="Times New Roman" w:hAnsi="Times New Roman" w:cs="Times New Roman"/>
          <w:noProof/>
          <w:sz w:val="24"/>
          <w:szCs w:val="24"/>
        </w:rPr>
        <w:drawing>
          <wp:inline distT="0" distB="0" distL="0" distR="0" wp14:anchorId="62678782">
            <wp:extent cx="2601533" cy="3478110"/>
            <wp:effectExtent l="0" t="0" r="889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79992" cy="3716701"/>
                    </a:xfrm>
                    <a:prstGeom prst="rect">
                      <a:avLst/>
                    </a:prstGeom>
                    <a:noFill/>
                  </pic:spPr>
                </pic:pic>
              </a:graphicData>
            </a:graphic>
          </wp:inline>
        </w:drawing>
      </w:r>
      <w:r w:rsidR="001F6A4B">
        <w:rPr>
          <w:rFonts w:ascii="Times New Roman" w:hAnsi="Times New Roman" w:cs="Times New Roman"/>
          <w:sz w:val="24"/>
          <w:szCs w:val="24"/>
        </w:rPr>
        <w:t xml:space="preserve">                 </w:t>
      </w:r>
      <w:r w:rsidR="001F6A4B">
        <w:rPr>
          <w:rFonts w:ascii="Times New Roman" w:hAnsi="Times New Roman" w:cs="Times New Roman"/>
          <w:noProof/>
          <w:sz w:val="24"/>
          <w:szCs w:val="24"/>
        </w:rPr>
        <w:drawing>
          <wp:inline distT="0" distB="0" distL="0" distR="0" wp14:anchorId="702AA041">
            <wp:extent cx="2624542" cy="3496614"/>
            <wp:effectExtent l="0" t="0" r="4445"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1762" cy="3506233"/>
                    </a:xfrm>
                    <a:prstGeom prst="rect">
                      <a:avLst/>
                    </a:prstGeom>
                    <a:noFill/>
                  </pic:spPr>
                </pic:pic>
              </a:graphicData>
            </a:graphic>
          </wp:inline>
        </w:drawing>
      </w:r>
    </w:p>
    <w:p w:rsidR="005C0EC9" w:rsidRDefault="005C0EC9" w:rsidP="009B4C8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A cura della “</w:t>
      </w:r>
      <w:proofErr w:type="spellStart"/>
      <w:r w:rsidRPr="005C0EC9">
        <w:rPr>
          <w:rFonts w:ascii="Times New Roman" w:hAnsi="Times New Roman" w:cs="Times New Roman"/>
          <w:i/>
          <w:sz w:val="24"/>
          <w:szCs w:val="24"/>
        </w:rPr>
        <w:t>Fresenius</w:t>
      </w:r>
      <w:proofErr w:type="spellEnd"/>
      <w:r w:rsidRPr="005C0EC9">
        <w:rPr>
          <w:rFonts w:ascii="Times New Roman" w:hAnsi="Times New Roman" w:cs="Times New Roman"/>
          <w:i/>
          <w:sz w:val="24"/>
          <w:szCs w:val="24"/>
        </w:rPr>
        <w:t xml:space="preserve"> </w:t>
      </w:r>
      <w:proofErr w:type="spellStart"/>
      <w:r w:rsidRPr="005C0EC9">
        <w:rPr>
          <w:rFonts w:ascii="Times New Roman" w:hAnsi="Times New Roman" w:cs="Times New Roman"/>
          <w:i/>
          <w:sz w:val="24"/>
          <w:szCs w:val="24"/>
        </w:rPr>
        <w:t>Kalbi</w:t>
      </w:r>
      <w:proofErr w:type="spellEnd"/>
      <w:r w:rsidRPr="005C0EC9">
        <w:rPr>
          <w:rFonts w:ascii="Times New Roman" w:hAnsi="Times New Roman" w:cs="Times New Roman"/>
          <w:i/>
          <w:sz w:val="24"/>
          <w:szCs w:val="24"/>
        </w:rPr>
        <w:t xml:space="preserve"> </w:t>
      </w:r>
      <w:proofErr w:type="spellStart"/>
      <w:r w:rsidRPr="005C0EC9">
        <w:rPr>
          <w:rFonts w:ascii="Times New Roman" w:hAnsi="Times New Roman" w:cs="Times New Roman"/>
          <w:i/>
          <w:sz w:val="24"/>
          <w:szCs w:val="24"/>
        </w:rPr>
        <w:t>caring</w:t>
      </w:r>
      <w:proofErr w:type="spellEnd"/>
      <w:r w:rsidRPr="005C0EC9">
        <w:rPr>
          <w:rFonts w:ascii="Times New Roman" w:hAnsi="Times New Roman" w:cs="Times New Roman"/>
          <w:i/>
          <w:sz w:val="24"/>
          <w:szCs w:val="24"/>
        </w:rPr>
        <w:t xml:space="preserve"> for life</w:t>
      </w:r>
      <w:r>
        <w:rPr>
          <w:rFonts w:ascii="Times New Roman" w:hAnsi="Times New Roman" w:cs="Times New Roman"/>
          <w:sz w:val="24"/>
          <w:szCs w:val="24"/>
        </w:rPr>
        <w:t>” la progettazione di pompe volumetriche e di pompe a siringa di massima sicurezza dotate di sistema di allarme nel caso di presenza di aria nella pompa che infatti porterebbe alla formazione di emboli, non bisogna dunque considerare non importanti queste tecnologie le quali permettono l’infusione di farmaci, fluidi o nutrienti direttamente nell’organismo umano.</w:t>
      </w:r>
    </w:p>
    <w:p w:rsidR="005C0EC9" w:rsidRDefault="001E7DDC" w:rsidP="009B4C8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007C4EF9">
        <w:rPr>
          <w:rFonts w:ascii="Times New Roman" w:hAnsi="Times New Roman" w:cs="Times New Roman"/>
          <w:sz w:val="24"/>
          <w:szCs w:val="24"/>
        </w:rPr>
        <w:t xml:space="preserve">bbiamo </w:t>
      </w:r>
      <w:r w:rsidR="008B48AA">
        <w:rPr>
          <w:rFonts w:ascii="Times New Roman" w:hAnsi="Times New Roman" w:cs="Times New Roman"/>
          <w:sz w:val="24"/>
          <w:szCs w:val="24"/>
        </w:rPr>
        <w:t>i</w:t>
      </w:r>
      <w:r>
        <w:rPr>
          <w:rFonts w:ascii="Times New Roman" w:hAnsi="Times New Roman" w:cs="Times New Roman"/>
          <w:sz w:val="24"/>
          <w:szCs w:val="24"/>
        </w:rPr>
        <w:t xml:space="preserve">noltre </w:t>
      </w:r>
      <w:r w:rsidR="007C4EF9">
        <w:rPr>
          <w:rFonts w:ascii="Times New Roman" w:hAnsi="Times New Roman" w:cs="Times New Roman"/>
          <w:sz w:val="24"/>
          <w:szCs w:val="24"/>
        </w:rPr>
        <w:t>assistito al Seminario intitolato "Ingegneria Clinica: vero traino della creazione di valore nei Sistemi Sanitari emergenti",</w:t>
      </w:r>
      <w:r w:rsidR="005C0EC9">
        <w:rPr>
          <w:rFonts w:ascii="Times New Roman" w:hAnsi="Times New Roman" w:cs="Times New Roman"/>
          <w:sz w:val="24"/>
          <w:szCs w:val="24"/>
        </w:rPr>
        <w:t xml:space="preserve"> moderato dal presidente AIIC Lorenzo </w:t>
      </w:r>
      <w:proofErr w:type="spellStart"/>
      <w:r w:rsidR="005C0EC9">
        <w:rPr>
          <w:rFonts w:ascii="Times New Roman" w:hAnsi="Times New Roman" w:cs="Times New Roman"/>
          <w:sz w:val="24"/>
          <w:szCs w:val="24"/>
        </w:rPr>
        <w:t>Leogrande</w:t>
      </w:r>
      <w:proofErr w:type="spellEnd"/>
      <w:r w:rsidR="005C0EC9">
        <w:rPr>
          <w:rFonts w:ascii="Times New Roman" w:hAnsi="Times New Roman" w:cs="Times New Roman"/>
          <w:sz w:val="24"/>
          <w:szCs w:val="24"/>
        </w:rPr>
        <w:t>,</w:t>
      </w:r>
      <w:r w:rsidR="007C4EF9">
        <w:rPr>
          <w:rFonts w:ascii="Times New Roman" w:hAnsi="Times New Roman" w:cs="Times New Roman"/>
          <w:sz w:val="24"/>
          <w:szCs w:val="24"/>
        </w:rPr>
        <w:t xml:space="preserve"> nel quale si è discusso </w:t>
      </w:r>
      <w:r>
        <w:rPr>
          <w:rFonts w:ascii="Times New Roman" w:hAnsi="Times New Roman" w:cs="Times New Roman"/>
          <w:sz w:val="24"/>
          <w:szCs w:val="24"/>
        </w:rPr>
        <w:t>del</w:t>
      </w:r>
      <w:r w:rsidR="007C4EF9">
        <w:rPr>
          <w:rFonts w:ascii="Times New Roman" w:hAnsi="Times New Roman" w:cs="Times New Roman"/>
          <w:sz w:val="24"/>
          <w:szCs w:val="24"/>
        </w:rPr>
        <w:t xml:space="preserve"> ruolo di questa branca dell'ingegneria e </w:t>
      </w:r>
      <w:r>
        <w:rPr>
          <w:rFonts w:ascii="Times New Roman" w:hAnsi="Times New Roman" w:cs="Times New Roman"/>
          <w:sz w:val="24"/>
          <w:szCs w:val="24"/>
        </w:rPr>
        <w:t>dei</w:t>
      </w:r>
      <w:r w:rsidR="007C4EF9">
        <w:rPr>
          <w:rFonts w:ascii="Times New Roman" w:hAnsi="Times New Roman" w:cs="Times New Roman"/>
          <w:sz w:val="24"/>
          <w:szCs w:val="24"/>
        </w:rPr>
        <w:t xml:space="preserve"> benefici che tale disciplina</w:t>
      </w:r>
      <w:r>
        <w:rPr>
          <w:rFonts w:ascii="Times New Roman" w:hAnsi="Times New Roman" w:cs="Times New Roman"/>
          <w:sz w:val="24"/>
          <w:szCs w:val="24"/>
        </w:rPr>
        <w:t xml:space="preserve"> può apportare alla medicina.</w:t>
      </w:r>
    </w:p>
    <w:p w:rsidR="005C0EC9" w:rsidRDefault="005C0EC9" w:rsidP="009B4C8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Ringraziamo tutti per l’occasione dataci.</w:t>
      </w:r>
    </w:p>
    <w:p w:rsidR="00E527E3" w:rsidRDefault="00E527E3" w:rsidP="009B4C8F">
      <w:pPr>
        <w:widowControl w:val="0"/>
        <w:autoSpaceDE w:val="0"/>
        <w:autoSpaceDN w:val="0"/>
        <w:adjustRightInd w:val="0"/>
        <w:jc w:val="both"/>
        <w:rPr>
          <w:rFonts w:ascii="Times New Roman" w:hAnsi="Times New Roman" w:cs="Times New Roman"/>
          <w:sz w:val="24"/>
          <w:szCs w:val="24"/>
        </w:rPr>
      </w:pPr>
    </w:p>
    <w:p w:rsidR="00E527E3" w:rsidRPr="00E527E3" w:rsidRDefault="001F6A4B">
      <w:pPr>
        <w:widowControl w:val="0"/>
        <w:autoSpaceDE w:val="0"/>
        <w:autoSpaceDN w:val="0"/>
        <w:adjustRightInd w:val="0"/>
        <w:rPr>
          <w:rFonts w:ascii="Times New Roman" w:hAnsi="Times New Roman" w:cs="Times New Roman"/>
          <w:noProof/>
          <w:sz w:val="24"/>
          <w:szCs w:val="24"/>
        </w:rPr>
      </w:pPr>
      <w:r>
        <w:rPr>
          <w:rFonts w:ascii="Calibri" w:hAnsi="Calibri" w:cs="Calibri"/>
          <w:noProof/>
        </w:rPr>
        <w:drawing>
          <wp:inline distT="0" distB="0" distL="0" distR="0" wp14:anchorId="6AD449D7" wp14:editId="6D21B583">
            <wp:extent cx="2929062" cy="2569801"/>
            <wp:effectExtent l="0" t="0" r="508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1796" cy="2589747"/>
                    </a:xfrm>
                    <a:prstGeom prst="rect">
                      <a:avLst/>
                    </a:prstGeom>
                    <a:noFill/>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5F8E67E">
            <wp:extent cx="1854558" cy="103035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14053" r="17744"/>
                    <a:stretch/>
                  </pic:blipFill>
                  <pic:spPr bwMode="auto">
                    <a:xfrm>
                      <a:off x="0" y="0"/>
                      <a:ext cx="1934656" cy="10748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3602C82">
            <wp:extent cx="1934625" cy="941786"/>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986" cy="950724"/>
                    </a:xfrm>
                    <a:prstGeom prst="rect">
                      <a:avLst/>
                    </a:prstGeom>
                    <a:noFill/>
                  </pic:spPr>
                </pic:pic>
              </a:graphicData>
            </a:graphic>
          </wp:inline>
        </w:drawing>
      </w:r>
    </w:p>
    <w:p w:rsidR="006D348A" w:rsidRDefault="006D348A">
      <w:pPr>
        <w:widowControl w:val="0"/>
        <w:autoSpaceDE w:val="0"/>
        <w:autoSpaceDN w:val="0"/>
        <w:adjustRightInd w:val="0"/>
        <w:rPr>
          <w:rFonts w:ascii="Times New Roman" w:hAnsi="Times New Roman" w:cs="Times New Roman"/>
          <w:sz w:val="24"/>
          <w:szCs w:val="24"/>
        </w:rPr>
      </w:pPr>
    </w:p>
    <w:p w:rsidR="006D348A" w:rsidRDefault="006D348A">
      <w:pPr>
        <w:widowControl w:val="0"/>
        <w:autoSpaceDE w:val="0"/>
        <w:autoSpaceDN w:val="0"/>
        <w:adjustRightInd w:val="0"/>
        <w:spacing w:line="240" w:lineRule="auto"/>
        <w:jc w:val="center"/>
        <w:rPr>
          <w:rFonts w:ascii="Times New Roman" w:hAnsi="Times New Roman" w:cs="Times New Roman"/>
          <w:sz w:val="24"/>
          <w:szCs w:val="24"/>
        </w:rPr>
      </w:pPr>
    </w:p>
    <w:p w:rsidR="007C4EF9" w:rsidRDefault="007C4EF9">
      <w:pPr>
        <w:widowControl w:val="0"/>
        <w:autoSpaceDE w:val="0"/>
        <w:autoSpaceDN w:val="0"/>
        <w:adjustRightInd w:val="0"/>
        <w:rPr>
          <w:rFonts w:ascii="Calibri" w:hAnsi="Calibri" w:cs="Calibri"/>
        </w:rPr>
      </w:pPr>
    </w:p>
    <w:sectPr w:rsidR="007C4EF9" w:rsidSect="001F6A4B">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CC0"/>
    <w:rsid w:val="00124E4E"/>
    <w:rsid w:val="001E7DDC"/>
    <w:rsid w:val="001F6A4B"/>
    <w:rsid w:val="005640F7"/>
    <w:rsid w:val="005C0EC9"/>
    <w:rsid w:val="00645C3D"/>
    <w:rsid w:val="00684C53"/>
    <w:rsid w:val="006D348A"/>
    <w:rsid w:val="00700CC0"/>
    <w:rsid w:val="007C4EF9"/>
    <w:rsid w:val="008B48AA"/>
    <w:rsid w:val="009B4C8F"/>
    <w:rsid w:val="00B442D5"/>
    <w:rsid w:val="00D23500"/>
    <w:rsid w:val="00D80BC6"/>
    <w:rsid w:val="00E527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D115C67-43DE-4F5E-90E1-62D6C0DDB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40F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40F7"/>
    <w:rPr>
      <w:rFonts w:ascii="Tahoma" w:hAnsi="Tahoma" w:cs="Tahoma"/>
      <w:sz w:val="16"/>
      <w:szCs w:val="16"/>
    </w:rPr>
  </w:style>
  <w:style w:type="paragraph" w:styleId="NormaleWeb">
    <w:name w:val="Normal (Web)"/>
    <w:basedOn w:val="Normale"/>
    <w:uiPriority w:val="99"/>
    <w:semiHidden/>
    <w:unhideWhenUsed/>
    <w:rsid w:val="00E527E3"/>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E527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68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2541</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Docente</cp:lastModifiedBy>
  <cp:revision>2</cp:revision>
  <cp:lastPrinted>2019-05-21T09:51:00Z</cp:lastPrinted>
  <dcterms:created xsi:type="dcterms:W3CDTF">2019-05-21T09:56:00Z</dcterms:created>
  <dcterms:modified xsi:type="dcterms:W3CDTF">2019-05-21T09:56:00Z</dcterms:modified>
</cp:coreProperties>
</file>